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>УТВЕРЖДАЮ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Председатель Профсоюза работников РАН </w:t>
      </w:r>
    </w:p>
    <w:p w:rsidR="006C4DBE" w:rsidRDefault="006C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jc w:val="center"/>
        <w:rPr>
          <w:color w:val="000000"/>
          <w:sz w:val="22"/>
          <w:szCs w:val="22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__________________    М.Ю. Митрофанов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left="3402"/>
        <w:jc w:val="both"/>
        <w:rPr>
          <w:color w:val="000000"/>
          <w:sz w:val="22"/>
          <w:szCs w:val="22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365F91"/>
          <w:sz w:val="20"/>
          <w:szCs w:val="20"/>
        </w:rPr>
      </w:pPr>
      <w:r>
        <w:rPr>
          <w:b/>
          <w:color w:val="365F91"/>
          <w:sz w:val="28"/>
          <w:szCs w:val="28"/>
        </w:rPr>
        <w:t>ПОЛОЖЕНИЕ</w:t>
      </w:r>
      <w:r>
        <w:rPr>
          <w:b/>
          <w:color w:val="365F91"/>
          <w:sz w:val="20"/>
          <w:szCs w:val="20"/>
        </w:rPr>
        <w:br/>
      </w:r>
      <w:r>
        <w:rPr>
          <w:b/>
          <w:color w:val="365F91"/>
        </w:rPr>
        <w:t>О ПРОВЕДЕНИИ XVI ВСЕРОССИЙСКОЙ ЛЫЖНОЙ АКАДЕМИАДЫ РАН (ВЛА)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1. Цели и задачи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1.1</w:t>
      </w:r>
      <w:r>
        <w:rPr>
          <w:color w:val="000000"/>
        </w:rPr>
        <w:t xml:space="preserve"> Пропаганда здорового образа жизни среди сотрудников, прежде всего, членов Профсоюза работников РАН (а также членов их семей) учреждений, преимущественно подведомственных Минобрнауки России.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1.2</w:t>
      </w:r>
      <w:r>
        <w:rPr>
          <w:color w:val="000000"/>
        </w:rPr>
        <w:t xml:space="preserve"> Популяризация лыжного спорта среди членов Профсоюза работников РАН, которые преимущественно являются сотрудниками подведомственных Минобрнауки России учреждений и членов их семей.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1.3</w:t>
      </w:r>
      <w:r>
        <w:rPr>
          <w:color w:val="000000"/>
        </w:rPr>
        <w:t xml:space="preserve"> Выявление сильнейших спортсменов и спортивных команд по лыжному спорту и среди членов Профсоюза работников РАН в категориях «учёный», «аспирант» и «инженерно-технический работник (ИТР)».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1.4</w:t>
      </w:r>
      <w:r>
        <w:rPr>
          <w:color w:val="000000"/>
        </w:rPr>
        <w:t xml:space="preserve"> Популяризация деятельности и повышение авторитета Профсоюза работников РАН.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1.5.</w:t>
      </w:r>
      <w:r>
        <w:rPr>
          <w:color w:val="000000"/>
        </w:rPr>
        <w:t xml:space="preserve"> Расширение географии участников Академиад. Расширение и укрепление научных и спортивных связей между научными организациями.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1.6.</w:t>
      </w:r>
      <w:r>
        <w:rPr>
          <w:color w:val="000000"/>
        </w:rPr>
        <w:t xml:space="preserve"> Проведение научных семинаров по интеграции исследований различных направлений наук.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2. Руководство Академиадой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Общее руководство Академиадой возлагается на Спортивную комиссию Центрального Совета Профсоюза работников РАН в лице оргкомитета Академиады, а ответственным исполнителем выступает Екатеринбургская территориальная организация Профсоюза работников Российской академии наук (ЕТО</w:t>
      </w:r>
      <w:r w:rsidR="008C2EB0">
        <w:rPr>
          <w:color w:val="000000"/>
        </w:rPr>
        <w:t>П</w:t>
      </w:r>
      <w:r>
        <w:rPr>
          <w:color w:val="000000"/>
        </w:rPr>
        <w:t>Р РАН).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Подготовкой и проведением соревнований занимаются организационный комитет (далее Оргкомитет), и локальный организационный комитет (далее Локальный оргкомитет), в обязанности которых входит: выбор сроков и места проведения соревнований, организация соревнований, размещение и награждение участников. Оперативное решение вопросов, в том числе спорных, в период проведения Академиады возлагается на Главную судейскую коллегию, в состав которой, помимо главного судьи соревнований, входит Совет капитанов команд-участниц (необходимо избрать до начала Академиады).</w:t>
      </w:r>
    </w:p>
    <w:p w:rsidR="00F93E1F" w:rsidRDefault="006C4DBE">
      <w:pPr>
        <w:ind w:firstLine="720"/>
      </w:pPr>
      <w:r>
        <w:t xml:space="preserve">Председателем Оргкомитета является Иванов Олег Геннадьевич (председатель секции лыжного спорта в Спортивной комиссии), </w:t>
      </w:r>
    </w:p>
    <w:p w:rsidR="00F93E1F" w:rsidRDefault="006C4DBE">
      <w:pPr>
        <w:ind w:firstLine="720"/>
      </w:pPr>
      <w:r>
        <w:t>моб. тел.: +7 903 719-11-81, е-mail: og_ivanov@mail.ru</w:t>
      </w:r>
    </w:p>
    <w:p w:rsidR="00F93E1F" w:rsidRDefault="006C4DBE">
      <w:pPr>
        <w:ind w:firstLine="706"/>
      </w:pPr>
      <w:r>
        <w:t>Председателем Локального оргкомитета является Белоусов Алексей Николаевич (член ЕТО</w:t>
      </w:r>
      <w:r w:rsidR="008C2EB0">
        <w:t>П</w:t>
      </w:r>
      <w:r>
        <w:t xml:space="preserve">Р РАН), </w:t>
      </w:r>
    </w:p>
    <w:p w:rsidR="00F93E1F" w:rsidRDefault="006C4DBE">
      <w:pPr>
        <w:ind w:firstLine="706"/>
      </w:pPr>
      <w:r>
        <w:t xml:space="preserve">моб. тел.: +7 922 154-22-28, е-mail: anb@uroran.ru </w:t>
      </w:r>
    </w:p>
    <w:p w:rsidR="00F93E1F" w:rsidRDefault="006C4DBE">
      <w:pPr>
        <w:ind w:firstLine="720"/>
        <w:jc w:val="both"/>
      </w:pPr>
      <w:r>
        <w:t>Судейство и постановка трасс в период проведения соревнований возлагается на Главную судейскую коллегию.</w:t>
      </w:r>
    </w:p>
    <w:p w:rsidR="00F93E1F" w:rsidRDefault="00F93E1F">
      <w:pPr>
        <w:ind w:firstLine="720"/>
        <w:jc w:val="both"/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lastRenderedPageBreak/>
        <w:t>3. Финансирование Академиады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Осуществляется из разных источников, в том числе: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соревновательная часть (реклама, проведение соревнований, расходы на аренду инфраструктуры спортивной базы, подготовка трасс, судейство, медицинское обслуживание, награждение участников) финансируется совместно из бюджетов Центрального Совета Профсоюза работников РАН, ЕТО</w:t>
      </w:r>
      <w:r w:rsidR="008C2EB0">
        <w:rPr>
          <w:color w:val="000000"/>
        </w:rPr>
        <w:t>П</w:t>
      </w:r>
      <w:r>
        <w:rPr>
          <w:color w:val="000000"/>
        </w:rPr>
        <w:t>Р РАН, спонсорской помощи.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бытовая часть (все вопросы, связанные с транспортировкой к месту соревнований и размещением участников) финансируется из бюджетов командирующих организаций.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4. Место и время проведения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Место проведения.</w:t>
      </w:r>
      <w:r>
        <w:rPr>
          <w:color w:val="000000"/>
        </w:rPr>
        <w:t xml:space="preserve"> Березовское муниципальное автономное учреждение «Детский загородный оздоровительный лагерь «Зарница», расположенное по адресу: 623706, Свердловская область, г. Березовский, улица Механизаторов, 40.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Проживание участников соревнований.</w:t>
      </w:r>
      <w:r>
        <w:rPr>
          <w:color w:val="000000"/>
        </w:rPr>
        <w:t xml:space="preserve"> Проживание для участников соревнований будет организованно в гостинице на территории лагеря «Зарница» (г. Березовский, улица Механизаторов, 40). Стоимость проживания, питанию и дополнительных услуг представлена в Приложении № 2 Положения.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Для прибывающих в аэропорт и на ж/д вокзал </w:t>
      </w:r>
      <w:r>
        <w:rPr>
          <w:b/>
          <w:i/>
          <w:color w:val="000000"/>
        </w:rPr>
        <w:t>г. Екатеринбурга</w:t>
      </w:r>
      <w:r>
        <w:rPr>
          <w:color w:val="000000"/>
        </w:rPr>
        <w:t xml:space="preserve"> будет организована доставка к месту соревнований. Возможна доставка волонтёрами Академиады - 2022 на личных автомобилях.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color w:val="000000"/>
        </w:rPr>
        <w:t>Сроки проведения ВЛА с 13 марта по 19 марта 2022 г. Сроки могут быть скорректированы на 1-2 дня по согласованию с принимающей стороной.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b/>
          <w:color w:val="000000"/>
        </w:rPr>
        <w:t>13.03.2022</w:t>
      </w:r>
      <w:r>
        <w:rPr>
          <w:color w:val="000000"/>
        </w:rPr>
        <w:t xml:space="preserve"> - заезд участников и команд с 16-00.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b/>
          <w:color w:val="000000"/>
        </w:rPr>
        <w:t>14.03.2022</w:t>
      </w:r>
      <w:r>
        <w:rPr>
          <w:color w:val="000000"/>
        </w:rPr>
        <w:t xml:space="preserve"> – заезд участников, просмотр трассы в 16-00 часов, 20-00 на первом этаже холла двухэтажного здания заседание мандатной комиссии, судейской коллегии, жеребьевка.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b/>
          <w:color w:val="000000"/>
        </w:rPr>
        <w:t>15.03.2022</w:t>
      </w:r>
      <w:r>
        <w:rPr>
          <w:color w:val="000000"/>
        </w:rPr>
        <w:t xml:space="preserve"> – открытие Академиады в </w:t>
      </w:r>
      <w:r>
        <w:rPr>
          <w:b/>
          <w:color w:val="000000"/>
        </w:rPr>
        <w:t>9-30</w:t>
      </w:r>
      <w:r>
        <w:rPr>
          <w:color w:val="000000"/>
        </w:rPr>
        <w:t>, 10-00 старт индивидуальной гонки</w:t>
      </w:r>
      <w:r>
        <w:rPr>
          <w:b/>
          <w:color w:val="000000"/>
        </w:rPr>
        <w:t xml:space="preserve"> </w:t>
      </w:r>
      <w:r>
        <w:rPr>
          <w:color w:val="000000"/>
        </w:rPr>
        <w:t>классическим стилем 10 км – мужчины, 5 км – женщины. Награждение победителей и призеров возрастных групп и абсолютного зачета.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color w:val="000000"/>
        </w:rPr>
        <w:t>В вечернее время традиционные академические научные посиделки (желающие выступить с докладом должны заблаговременно прислать заявку в оргкомитет).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16.03.2022</w:t>
      </w:r>
      <w:r>
        <w:rPr>
          <w:color w:val="000000"/>
        </w:rPr>
        <w:t xml:space="preserve"> – в 10-00 старт индивидуальной гонки свободным стилем 10 км – мужчины, 5 км – женщины. Награждение победителей и призеров возрастных групп и абсолютного зачета, абсолютного зачета по итогам 2-х индивидуальных гонок, победителей в категориях «учёный», «аспирант» и «инженерно-технический работник (ИТР)».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color w:val="000000"/>
        </w:rPr>
        <w:t>В вечернее время традиционные академические научные посиделки (желающие выступить с докладом должны заблаговременно прислать заявку в оргкомитет), возможна организация банкета.</w:t>
      </w:r>
    </w:p>
    <w:p w:rsidR="00F93E1F" w:rsidRDefault="006C4DB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17.03.2022</w:t>
      </w:r>
      <w:r>
        <w:rPr>
          <w:color w:val="000000"/>
        </w:rPr>
        <w:t xml:space="preserve"> – выходной день, экскурсионная программа. В 20-00 на первом этаже холла двухэтажного здания заседание мандатной комиссии, судейской коллегии.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b/>
          <w:color w:val="000000"/>
        </w:rPr>
        <w:t>18.03.2022</w:t>
      </w:r>
      <w:r>
        <w:rPr>
          <w:color w:val="000000"/>
        </w:rPr>
        <w:t xml:space="preserve"> – 10-00 старт эстафеты.</w:t>
      </w:r>
    </w:p>
    <w:p w:rsidR="00F93E1F" w:rsidRDefault="006C4DBE">
      <w:pPr>
        <w:ind w:firstLine="709"/>
        <w:jc w:val="both"/>
        <w:rPr>
          <w:b/>
          <w:color w:val="000000"/>
        </w:rPr>
      </w:pPr>
      <w:r>
        <w:rPr>
          <w:color w:val="000000"/>
        </w:rPr>
        <w:t>Подведение итогов Академиады с награждением победителей и призеров эстафеты и командных зачетов среди больших и малых команд. Закрытие Академиады, по желанию участников возможна организация фуршета.</w:t>
      </w:r>
    </w:p>
    <w:p w:rsidR="00F93E1F" w:rsidRDefault="006C4DBE">
      <w:pPr>
        <w:ind w:firstLine="709"/>
        <w:jc w:val="both"/>
        <w:rPr>
          <w:color w:val="000000"/>
        </w:rPr>
      </w:pPr>
      <w:r>
        <w:rPr>
          <w:b/>
          <w:color w:val="000000"/>
        </w:rPr>
        <w:t>18-19.03.2022</w:t>
      </w:r>
      <w:r>
        <w:rPr>
          <w:color w:val="000000"/>
        </w:rPr>
        <w:t xml:space="preserve"> – день отъезда участников.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5. Участники соревнований, подача заявок и регистрация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highlight w:val="red"/>
        </w:rPr>
      </w:pPr>
      <w:r>
        <w:rPr>
          <w:color w:val="000000"/>
        </w:rPr>
        <w:t xml:space="preserve">К участию в соревнованиях допускаются команды и индивидуальные участники, являющиеся членами </w:t>
      </w:r>
      <w:r w:rsidR="008C2EB0">
        <w:rPr>
          <w:color w:val="000000"/>
        </w:rPr>
        <w:t>П</w:t>
      </w:r>
      <w:r>
        <w:rPr>
          <w:color w:val="000000"/>
        </w:rPr>
        <w:t>рофсоюза</w:t>
      </w:r>
      <w:r w:rsidR="008C2EB0">
        <w:rPr>
          <w:color w:val="000000"/>
        </w:rPr>
        <w:t xml:space="preserve"> работников</w:t>
      </w:r>
      <w:r>
        <w:rPr>
          <w:color w:val="000000"/>
        </w:rPr>
        <w:t xml:space="preserve"> РАН, имеющие соответствующую подготовку, допуск врача (медицинская справка о допуске к занятиям физкультурой и спортом (лыжные гонки), наличие страхового полиса от несчастного случая на весь срок проведения ВЛА (спортивная страховка с указанием вида спорта) или действующий полис ОМС. Участники </w:t>
      </w:r>
      <w:r>
        <w:rPr>
          <w:color w:val="000000"/>
        </w:rPr>
        <w:lastRenderedPageBreak/>
        <w:t xml:space="preserve">команд на момент начала соревнований должны иметь непрерывный стаж работы не менее </w:t>
      </w:r>
      <w:r>
        <w:rPr>
          <w:b/>
          <w:color w:val="000000"/>
        </w:rPr>
        <w:t>6 месяцев</w:t>
      </w:r>
      <w:r>
        <w:rPr>
          <w:color w:val="000000"/>
        </w:rPr>
        <w:t xml:space="preserve"> в организации, направляющей команду или участника на соревнования,</w:t>
      </w:r>
      <w:r>
        <w:rPr>
          <w:i/>
          <w:color w:val="000000"/>
        </w:rPr>
        <w:t xml:space="preserve"> </w:t>
      </w:r>
      <w:r>
        <w:rPr>
          <w:color w:val="000000"/>
        </w:rPr>
        <w:t>что подтверждается письмом (справкой) с места работы на официальном бланке организации с указанием должности участника, даты приёма на работу зарегистрированное в реестре исходящих документов, заверенное подписью сотрудника Отдела Кадров организации и официальной печатью организации. Организаторы соревнований (П</w:t>
      </w:r>
      <w:r w:rsidR="008C2EB0">
        <w:rPr>
          <w:color w:val="000000"/>
        </w:rPr>
        <w:t xml:space="preserve">рофсоюз работников </w:t>
      </w:r>
      <w:r>
        <w:rPr>
          <w:color w:val="000000"/>
        </w:rPr>
        <w:t>РАН и/или ЕТО</w:t>
      </w:r>
      <w:r w:rsidR="005A620D">
        <w:rPr>
          <w:color w:val="000000"/>
        </w:rPr>
        <w:t>ПР</w:t>
      </w:r>
      <w:r>
        <w:rPr>
          <w:color w:val="000000"/>
        </w:rPr>
        <w:t xml:space="preserve"> РАН) оставляют за собой право проверить подлинность документов. Кроме того, членство участников в </w:t>
      </w:r>
      <w:r w:rsidR="005A620D">
        <w:rPr>
          <w:color w:val="000000"/>
        </w:rPr>
        <w:t>П</w:t>
      </w:r>
      <w:r>
        <w:rPr>
          <w:color w:val="000000"/>
        </w:rPr>
        <w:t xml:space="preserve">рофсоюзе </w:t>
      </w:r>
      <w:r w:rsidR="005A620D">
        <w:rPr>
          <w:color w:val="000000"/>
        </w:rPr>
        <w:t xml:space="preserve">работников </w:t>
      </w:r>
      <w:r>
        <w:rPr>
          <w:color w:val="000000"/>
        </w:rPr>
        <w:t>РАН будет проверено ЦС П</w:t>
      </w:r>
      <w:r w:rsidR="005A620D">
        <w:rPr>
          <w:color w:val="000000"/>
        </w:rPr>
        <w:t>рофсоюза работников</w:t>
      </w:r>
      <w:r>
        <w:rPr>
          <w:color w:val="000000"/>
        </w:rPr>
        <w:t xml:space="preserve"> РАН. Команда, заявившая участника, не являющегося сотрудником организации, подведомственной Министерству науки и высшего образования РФ и/или не относящейся к регион</w:t>
      </w:r>
      <w:r w:rsidR="005A620D">
        <w:rPr>
          <w:color w:val="000000"/>
        </w:rPr>
        <w:t>альной профсоюзной организации</w:t>
      </w:r>
      <w:r>
        <w:rPr>
          <w:color w:val="000000"/>
        </w:rPr>
        <w:t>, котор</w:t>
      </w:r>
      <w:r w:rsidR="005A620D">
        <w:rPr>
          <w:color w:val="000000"/>
        </w:rPr>
        <w:t>ую</w:t>
      </w:r>
      <w:r>
        <w:rPr>
          <w:color w:val="000000"/>
        </w:rPr>
        <w:t xml:space="preserve"> представляет команда, отстраняется от участия в ВЛА. Если на момент выявления такого случая какие-либо старты ВЛА уже были проведены, то результаты всех участников отстранённой команды аннулируются, с последующим пересчётом личных и командных результатов ВЛА. Кроме того, в дальнейшем перед ЦС Профсоюза работников РАН будет поставлен вопрос о постоянной либо временной дисквалификации отстранённой команды от участия в последующих лыжных Академиадах РАН.</w:t>
      </w:r>
    </w:p>
    <w:p w:rsidR="00F93E1F" w:rsidRDefault="006C4DBE">
      <w:pPr>
        <w:ind w:firstLine="709"/>
        <w:jc w:val="both"/>
      </w:pPr>
      <w:r>
        <w:rPr>
          <w:color w:val="000000"/>
        </w:rPr>
        <w:t>По решению Оргкомитета, к</w:t>
      </w:r>
      <w:r>
        <w:t xml:space="preserve"> участию в соревнованиях допускаются участники, представляющие Минобрнауки России, Российскую академию наук, а также могут быть допущены представители научных учреждений, подведомственных Минобрнауки России, в которых на данный момент отсутствуют первичные профсоюзные организации Профсоюза работников РАН, либо работники организаций, в которых есть первичные профсоюзные организации Профсоюза работников РАН, но сам участник не является членом профсоюза работников РАН. Эти участники должны поддерживать реализацию основных задач Академиады и допускаются к участию в соревнованиях при оплате организационного взноса в размере:</w:t>
      </w:r>
    </w:p>
    <w:p w:rsidR="00F93E1F" w:rsidRDefault="006C4DBE">
      <w:pPr>
        <w:ind w:firstLine="709"/>
        <w:jc w:val="both"/>
      </w:pPr>
      <w:r>
        <w:t xml:space="preserve">1. </w:t>
      </w:r>
      <w:r>
        <w:rPr>
          <w:b/>
        </w:rPr>
        <w:t>5 000 (пять тысяч) рублей</w:t>
      </w:r>
      <w:r>
        <w:t xml:space="preserve"> - с одного участника;</w:t>
      </w:r>
    </w:p>
    <w:p w:rsidR="00F93E1F" w:rsidRDefault="006C4DBE">
      <w:pPr>
        <w:ind w:firstLine="709"/>
        <w:jc w:val="both"/>
      </w:pPr>
      <w:r>
        <w:t xml:space="preserve">2. </w:t>
      </w:r>
      <w:r>
        <w:rPr>
          <w:b/>
        </w:rPr>
        <w:t xml:space="preserve">5 000 (пять тысяч) рублей х N </w:t>
      </w:r>
      <w:r>
        <w:t>- с команды, где N количество участников в команде, но не более 6 человек.</w:t>
      </w:r>
    </w:p>
    <w:p w:rsidR="00F93E1F" w:rsidRDefault="006C4DBE">
      <w:pPr>
        <w:ind w:firstLine="709"/>
        <w:jc w:val="both"/>
      </w:pPr>
      <w:r>
        <w:t xml:space="preserve">Трудовой стаж указанных участников должен быть не менее </w:t>
      </w:r>
      <w:r>
        <w:rPr>
          <w:b/>
        </w:rPr>
        <w:t>6 месяцев, как минимум на 0,5 ставки</w:t>
      </w:r>
      <w:r>
        <w:t>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со сложившейся эпидемиологической обстановкой при проведении Академиады – 2022 необходимо обеспечить соблюдение санитарных норм в соответствии с Указом Губернатора Свердловской области №100-УГ от 18.03.2020 г. 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Предварительные заявки для участия в Академиаде-2022 направлять на указанные ниже адреса до </w:t>
      </w:r>
      <w:r>
        <w:rPr>
          <w:b/>
          <w:color w:val="000000"/>
        </w:rPr>
        <w:t>15 февраля</w:t>
      </w:r>
      <w:r>
        <w:rPr>
          <w:color w:val="000000"/>
        </w:rPr>
        <w:t xml:space="preserve"> включительно, для осуществления раннего бронирования мест проживания участников. Окончательные заявки для участия команд принимаются до              </w:t>
      </w:r>
      <w:r>
        <w:rPr>
          <w:b/>
          <w:color w:val="000000"/>
        </w:rPr>
        <w:t>1 марта</w:t>
      </w:r>
      <w:r>
        <w:rPr>
          <w:color w:val="000000"/>
        </w:rPr>
        <w:t xml:space="preserve">, индивидуальных участников – до </w:t>
      </w:r>
      <w:r>
        <w:rPr>
          <w:b/>
          <w:color w:val="000000"/>
        </w:rPr>
        <w:t>1 марта</w:t>
      </w:r>
      <w:r>
        <w:rPr>
          <w:color w:val="000000"/>
        </w:rPr>
        <w:t>. В соревновании могут принять участие сотрудники (и команды) Профсоюза работников РАН.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left="706" w:firstLine="2"/>
        <w:jc w:val="both"/>
        <w:rPr>
          <w:color w:val="000000"/>
        </w:rPr>
      </w:pPr>
      <w:r>
        <w:rPr>
          <w:b/>
          <w:color w:val="000000"/>
        </w:rPr>
        <w:t>Заявки</w:t>
      </w:r>
      <w:r>
        <w:rPr>
          <w:color w:val="000000"/>
        </w:rPr>
        <w:t xml:space="preserve"> (форма приведена в </w:t>
      </w:r>
      <w:r>
        <w:rPr>
          <w:b/>
          <w:color w:val="000000"/>
        </w:rPr>
        <w:t>Приложении №3</w:t>
      </w:r>
      <w:r>
        <w:rPr>
          <w:color w:val="000000"/>
        </w:rPr>
        <w:t xml:space="preserve">) принимаются на электронную почту: 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left="706" w:firstLine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anb@uroran.ru</w:t>
      </w:r>
      <w:r>
        <w:rPr>
          <w:color w:val="000000"/>
        </w:rPr>
        <w:t xml:space="preserve"> (Белоусов Алексей Николаевич) 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left="706" w:firstLine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salamatov@imp.uran.ru</w:t>
      </w:r>
      <w:r>
        <w:rPr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color w:val="000000"/>
        </w:rPr>
        <w:t xml:space="preserve">Саламатов Юрий Александрович) 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left="706" w:firstLine="2"/>
        <w:jc w:val="both"/>
        <w:rPr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b/>
          <w:color w:val="000000"/>
        </w:rPr>
      </w:pPr>
      <w:r>
        <w:rPr>
          <w:color w:val="000000"/>
        </w:rPr>
        <w:t xml:space="preserve">Форма заявки предварительной и основной размещена в </w:t>
      </w:r>
      <w:r>
        <w:rPr>
          <w:b/>
          <w:color w:val="000000"/>
        </w:rPr>
        <w:t>Приложении №3</w:t>
      </w:r>
      <w:r>
        <w:rPr>
          <w:color w:val="000000"/>
        </w:rPr>
        <w:t xml:space="preserve"> Положения, а также на странице Профсоюза работников РАН в разделе «Спорт», также она может быть выслана по просьбе на e-mail представителям команд. По всем вопросам обращаться по тел.</w:t>
      </w:r>
      <w:r>
        <w:rPr>
          <w:b/>
          <w:color w:val="000000"/>
        </w:rPr>
        <w:t xml:space="preserve"> Белоусова Алексея Николаевича</w:t>
      </w:r>
      <w:r>
        <w:rPr>
          <w:color w:val="000000"/>
        </w:rPr>
        <w:t xml:space="preserve"> </w:t>
      </w:r>
      <w:r>
        <w:rPr>
          <w:b/>
          <w:color w:val="000000"/>
        </w:rPr>
        <w:t>+7 922 154-22-28</w:t>
      </w:r>
      <w:r>
        <w:rPr>
          <w:color w:val="000000"/>
        </w:rPr>
        <w:t xml:space="preserve"> (Мегафон) или через приложение в Контакте, где для руководителей команд будет создана </w:t>
      </w:r>
      <w:r>
        <w:rPr>
          <w:b/>
          <w:color w:val="000000"/>
        </w:rPr>
        <w:t xml:space="preserve">группа «Академиада-2022». 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rPr>
          <w:b/>
          <w:color w:val="365F91"/>
        </w:rPr>
      </w:pPr>
    </w:p>
    <w:p w:rsidR="006C4DBE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6. Награждение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Команда, занявшая итоговое первое место, награждается дипломом и главным призом – переходящим кубком с нанесением памятной надписи команды-победительницы. Призеры - команды, занявшие 2-е и 3-е места, награждаются дипломами и памятными кубками. Для командного зачета обязательно участие коллектива во всех видах программы соревнований.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Малая команда, занявшая итоговое первое место, награждается дипломом и призом малых команд – переходящим кубком «Надежда Академиады» с нанесением памятной надписи команды-победительницы. Призеры - команды, занявшие 2-е и 3-е места, награждаются дипломами и памятными подарками. Для командного зачета обязательно участие коллектива во всех видах программы соревнований.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 эстафете команды награждаются за 1, 2 и 3 места в соответствии с фактическим результатом прихода команды на финиш.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Награждаются грамотами и медалями победители и призеры в возрастных группах по результатам индивидуальных гонок, победители и призеры в индивидуальном абсолютном женском и мужском зачетах (по итогам каждой гонки и по сумме 2-х гонок) также награждаются дипломами и ценными призами, награждаются победители в категориях «учёный», «аспирант» и «инженерно-технический работник (ИТР)».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*На странице Академиады-2022 отдельным Приложением будет опубликован подробный порядок награждений и перечень призов.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365F91"/>
        </w:rPr>
      </w:pPr>
      <w:r>
        <w:rPr>
          <w:b/>
          <w:color w:val="365F91"/>
        </w:rPr>
        <w:t>7. Программа соревнований и порядок формирования команд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b/>
          <w:color w:val="000000"/>
        </w:rPr>
        <w:t>7.1</w:t>
      </w:r>
      <w:r>
        <w:rPr>
          <w:color w:val="000000"/>
        </w:rPr>
        <w:t xml:space="preserve"> Командный зачёт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Минимальный состав команды для участия в командном первенстве 4 человека, максимально – 6 человек. </w:t>
      </w:r>
      <w:r>
        <w:rPr>
          <w:b/>
          <w:color w:val="000000"/>
        </w:rPr>
        <w:t>Обязательно наличие в команде как минимум одной женщины и как минимум одного мужчины</w:t>
      </w:r>
      <w:r>
        <w:rPr>
          <w:color w:val="000000"/>
        </w:rPr>
        <w:t>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команд, которые по тем или иным причинам не смогли привезти полную команду (4-6 человек), в качестве поддержки и поощрения развития лыжного спорта разрешается выставлять команду в составе 3 человек, при этом такие команды участвуют в розыгрыше переходящего кубка малых команд – кубка «Надежда Академиады». </w:t>
      </w:r>
      <w:r>
        <w:rPr>
          <w:b/>
          <w:color w:val="000000"/>
        </w:rPr>
        <w:t>В малой команде обязательно наличие как минимум одной женщины и как минимум одного мужчины.</w:t>
      </w:r>
      <w:r>
        <w:rPr>
          <w:color w:val="000000"/>
        </w:rPr>
        <w:t xml:space="preserve"> Участие одновременно в двух кубках – большом и малом – для одной организации запрещено.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Если приехала команда менее 3 человек, то она также может участвовать в розыгрыше кубка «Надежда Академиады», но для участия в эстафете таким командам надо будет объединиться с другой мини-командой, чтобы было 3 участника для возможности участия в эстафете малых команд. При одинаково набранных очках в эстафете малых команд, преимущество имеет полная малая команда.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Команды формируются по региональному принципу либо по принадлежности к одной организации. Участники объединяются в группы по возрасту с интервалом 5 лет (для групп с первой по двенадцатую включительно, в нулевой группе возраст участников до 29 лет). Возраст участников в текущем сезоне определяется по состоянию на </w:t>
      </w:r>
      <w:r>
        <w:rPr>
          <w:b/>
          <w:color w:val="000000"/>
        </w:rPr>
        <w:t>31.12.2021 г</w:t>
      </w:r>
      <w:r>
        <w:rPr>
          <w:color w:val="000000"/>
        </w:rPr>
        <w:t xml:space="preserve">. Таким образом, формируются </w:t>
      </w:r>
      <w:r>
        <w:rPr>
          <w:b/>
          <w:color w:val="000000"/>
        </w:rPr>
        <w:t>13 возрастных групп</w:t>
      </w:r>
      <w:r>
        <w:rPr>
          <w:color w:val="000000"/>
        </w:rPr>
        <w:t xml:space="preserve"> у мужчин и женщин </w:t>
      </w:r>
      <w:r>
        <w:rPr>
          <w:b/>
          <w:color w:val="000000"/>
        </w:rPr>
        <w:t>(см.</w:t>
      </w:r>
      <w:r>
        <w:rPr>
          <w:color w:val="000000"/>
        </w:rPr>
        <w:t xml:space="preserve"> </w:t>
      </w:r>
      <w:r>
        <w:rPr>
          <w:b/>
          <w:color w:val="000000"/>
        </w:rPr>
        <w:t>Приложение №5</w:t>
      </w:r>
      <w:r>
        <w:rPr>
          <w:color w:val="000000"/>
        </w:rPr>
        <w:t>).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6"/>
        <w:jc w:val="both"/>
        <w:rPr>
          <w:color w:val="000000"/>
        </w:rPr>
      </w:pPr>
      <w:r>
        <w:rPr>
          <w:b/>
          <w:color w:val="000000"/>
        </w:rPr>
        <w:t>7.2</w:t>
      </w:r>
      <w:r>
        <w:rPr>
          <w:color w:val="000000"/>
        </w:rPr>
        <w:t xml:space="preserve"> После индивидуальных гонок 4 лучших результата участников команды, как минимум один из которых должен быть женскими и как минимум один из которых должен быть мужским, с учётом возрастных коэффициентов а также с учётом женского коэффициента и дистанционного коэффициента </w:t>
      </w:r>
      <w:r>
        <w:rPr>
          <w:b/>
          <w:color w:val="000000"/>
        </w:rPr>
        <w:t xml:space="preserve">(см. Приложение №4), </w:t>
      </w:r>
      <w:r>
        <w:rPr>
          <w:color w:val="000000"/>
        </w:rPr>
        <w:t>суммируются и идут в командный зачёт.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Применение возрастных коэффициентов происходит следующим образом: результат участника (время ХХч. ХХмин. ХХсек.), показанный в гонке, т.е. чистое время прохождения дистанции умножается на возрастной коэффициент (Y), соответствующий году рождения участника. Пример: </w:t>
      </w:r>
      <w:r>
        <w:rPr>
          <w:b/>
          <w:color w:val="000000"/>
        </w:rPr>
        <w:t>ХХч. ХХмин. ХХсек. х Y = итоговое время Z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Помимо возрастных коэффициентов к результатам участников женского пола, показанным в индивидуальных гонках, применяются также женский коэффициент и дистанционный коэффициент (так как протяжённость дистанции в индивидуальных гонках у </w:t>
      </w:r>
      <w:r>
        <w:rPr>
          <w:color w:val="000000"/>
        </w:rPr>
        <w:lastRenderedPageBreak/>
        <w:t xml:space="preserve">женщин в два раза меньше чем у мужчин), т.е. их результаты дополнительно умножаются на эти коэффициенты. Женский коэффициент равняется </w:t>
      </w:r>
      <w:r>
        <w:rPr>
          <w:b/>
          <w:color w:val="000000"/>
        </w:rPr>
        <w:t>0.865</w:t>
      </w:r>
      <w:r>
        <w:rPr>
          <w:color w:val="000000"/>
        </w:rPr>
        <w:t xml:space="preserve">, дистанционный коэффициент равняется </w:t>
      </w:r>
      <w:r>
        <w:rPr>
          <w:b/>
          <w:color w:val="000000"/>
        </w:rPr>
        <w:t>2.05</w:t>
      </w:r>
      <w:r>
        <w:rPr>
          <w:color w:val="000000"/>
        </w:rPr>
        <w:t xml:space="preserve">. Пример: </w:t>
      </w:r>
      <w:r>
        <w:rPr>
          <w:b/>
          <w:color w:val="000000"/>
        </w:rPr>
        <w:t>ХХч. ХХмин. ХХсек. х Y х 0.865 х 2.05 = итоговое время Z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После эстафеты результаты участников команды, показанные на этапах, с учётом возрастных коэффициентов, а также женского коэффициента в зависимости от количества женщин в команде (их применение см. выше) суммируются и идут в командный зачёт.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Мини-команды до 3 человек могут принять участие в розыгрыше кубка </w:t>
      </w:r>
      <w:r>
        <w:rPr>
          <w:b/>
          <w:color w:val="000000"/>
        </w:rPr>
        <w:t>«Надежда Академиады».</w:t>
      </w:r>
      <w:r>
        <w:rPr>
          <w:color w:val="000000"/>
        </w:rPr>
        <w:t xml:space="preserve"> 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Место команды в командных соревнованиях определяется по возрастанию итогового суммарного времени результатов, показанных участниками в индивидуальных гонках и эстафете, с учётом возрастных коэффициентов, а также женского и дистанционного</w:t>
      </w:r>
      <w:r>
        <w:rPr>
          <w:b/>
          <w:color w:val="000000"/>
        </w:rPr>
        <w:t xml:space="preserve"> </w:t>
      </w:r>
      <w:r>
        <w:rPr>
          <w:color w:val="000000"/>
        </w:rPr>
        <w:t>(их применение см. выше)</w:t>
      </w:r>
      <w:r>
        <w:rPr>
          <w:b/>
          <w:color w:val="000000"/>
        </w:rPr>
        <w:t xml:space="preserve">. </w:t>
      </w:r>
      <w:r>
        <w:rPr>
          <w:color w:val="000000"/>
        </w:rPr>
        <w:t>В случае, когда итоговое время после всех видов соревнований у каких-либо команд окажется одинаковым, итоговое место в командном зачёте определяется по месту, занятому командой в эстафете, т.е. впереди будет та команда, место которой в эстафете выше.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Индивидуальные участники из неполных команд также могут объединиться для участия в эстафете, где их результаты будут учтены в командный зачет пропорционально количеству участников от своей команды. Но такие неполные команды не участвуют в розыгрыше кубка и результат объединенной команды в эстафете идет в неофициальный зачет.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Победителем становится полная команда, набравшая самое малое итоговое время.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  <w:r>
        <w:rPr>
          <w:b/>
          <w:color w:val="365F91"/>
        </w:rPr>
        <w:t>8. Порядок и правила проведения гонок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8.1</w:t>
      </w:r>
      <w:r>
        <w:rPr>
          <w:color w:val="000000"/>
        </w:rPr>
        <w:t xml:space="preserve"> Гонка классическим стилем 10 км – мужчины, 5 км – женщины. Старт раздельный через 30 секунд.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Правила передвижения классическим стилем на Академиаде допускают использование «даблполинга» (бесшажного хода) без ограничения длины палок. За нарушения стиля спортсмену начисляются штрафные минуты (по одной за каждый факт нарушения). В целом, гонка классическим стилем проводится в соответствии с правилами ФЛГР. Порядок старта участников в категориях М (мужчины) и Ж (женщины) определяется общей жеребьевкой без деления на возрастные группы. Первыми стартуют мужчины, далее без разрыва по времени женщины.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8.2</w:t>
      </w:r>
      <w:r>
        <w:rPr>
          <w:color w:val="000000"/>
        </w:rPr>
        <w:t xml:space="preserve"> Гонка свободным стилем 10 км – мужчины, 5 км – женщины. Старт раздельный через 30 секунд.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8.3</w:t>
      </w:r>
      <w:r>
        <w:rPr>
          <w:color w:val="000000"/>
        </w:rPr>
        <w:t xml:space="preserve"> Для полных команд эстафета проводится в формате четырёхэтапной эстафеты. Два первых этапа – классическим стилем, третий и четвёртый этапы – свободным стилем. </w:t>
      </w:r>
      <w:r>
        <w:rPr>
          <w:b/>
          <w:color w:val="000000"/>
        </w:rPr>
        <w:t>В составе команды должны быть как минимум одна женщина и как минимум один мужчина.</w:t>
      </w:r>
      <w:r>
        <w:rPr>
          <w:color w:val="000000"/>
        </w:rPr>
        <w:t xml:space="preserve"> Протяжённость всех этапов – 5 км. 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малых команд эстафета проводится в формате трёхэтапной эстафеты. Первый этап – классическим стилем, второй и третий этапы – свободным стилем. </w:t>
      </w:r>
      <w:r>
        <w:rPr>
          <w:b/>
          <w:color w:val="000000"/>
        </w:rPr>
        <w:t>В составе команды должны быть как минимум одна женщина и как минимум один мужчина.</w:t>
      </w:r>
      <w:r>
        <w:rPr>
          <w:color w:val="000000"/>
        </w:rPr>
        <w:t xml:space="preserve"> Протяжённость всех этапов – 5 км. 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За нарушение стиля на классическом этапе любым участником (сам факт нарушения может быть установлен как во время, так и после окончания соревнований, но не позднее 1 часа по окончании соревнований) может быть наложен штраф в виде дополнительной минуты за каждый факт нарушения, установленный судьями или средствами видео и фото фиксации.</w:t>
      </w: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25"/>
        <w:ind w:firstLine="709"/>
        <w:rPr>
          <w:b/>
          <w:color w:val="000000"/>
        </w:rPr>
      </w:pPr>
      <w:r>
        <w:rPr>
          <w:b/>
          <w:color w:val="000000"/>
        </w:rPr>
        <w:t>Данное Положение является официальным вызовом на соревнование.</w:t>
      </w:r>
    </w:p>
    <w:p w:rsidR="005A620D" w:rsidRDefault="005A620D">
      <w:pPr>
        <w:pBdr>
          <w:top w:val="nil"/>
          <w:left w:val="nil"/>
          <w:bottom w:val="nil"/>
          <w:right w:val="nil"/>
          <w:between w:val="nil"/>
        </w:pBdr>
        <w:spacing w:after="160"/>
        <w:jc w:val="right"/>
        <w:rPr>
          <w:b/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after="160"/>
        <w:jc w:val="right"/>
        <w:rPr>
          <w:b/>
          <w:color w:val="000000"/>
        </w:rPr>
      </w:pPr>
      <w:r>
        <w:rPr>
          <w:b/>
          <w:color w:val="000000"/>
        </w:rPr>
        <w:t>Приложение № 1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8"/>
          <w:szCs w:val="28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8"/>
          <w:szCs w:val="28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оргкомитета Академиады-2022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Иванов Олег Геннадьевич- Председатель Оргкомитета (председатель секции лыжного спорта в Спортивной комиссии Профсоюза работников РАН).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Белоусов Алексей Николаевич (ИММ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Марков Алексей Александрович (ИХТТ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Саламатов Юрий Александрович (ИФМ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Девятериков Денис Игоревич (ИФМ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Новиков Юрий Васильевич (ИФиП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Новикова Оксана Сергеевна (ИФМ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Герцен Оксана Павловна (ИИиФ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Фаттахова Зилара Амирахматовна (ИХТТ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Деева Юлия Андреевна (ИХТТ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Багно Александр Леонидович (ИММ УрО РАН)</w:t>
      </w:r>
    </w:p>
    <w:p w:rsidR="00F93E1F" w:rsidRDefault="006C4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Гимранов Дмитрий Олегович (ИЭРиЖ УрО РАН)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  <w:sectPr w:rsidR="00F93E1F" w:rsidSect="005A620D">
          <w:pgSz w:w="11906" w:h="16838"/>
          <w:pgMar w:top="1134" w:right="1134" w:bottom="709" w:left="1134" w:header="720" w:footer="720" w:gutter="0"/>
          <w:pgNumType w:start="1"/>
          <w:cols w:space="720"/>
        </w:sectPr>
      </w:pPr>
    </w:p>
    <w:p w:rsidR="00F93E1F" w:rsidRDefault="006C4DBE">
      <w:pPr>
        <w:spacing w:line="264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F93E1F" w:rsidRDefault="00F93E1F">
      <w:pPr>
        <w:spacing w:line="264" w:lineRule="auto"/>
        <w:ind w:firstLine="709"/>
        <w:jc w:val="right"/>
        <w:rPr>
          <w:b/>
        </w:rPr>
      </w:pPr>
    </w:p>
    <w:p w:rsidR="00F93E1F" w:rsidRDefault="00F93E1F">
      <w:pPr>
        <w:spacing w:line="264" w:lineRule="auto"/>
        <w:ind w:firstLine="709"/>
        <w:jc w:val="right"/>
        <w:rPr>
          <w:b/>
        </w:rPr>
      </w:pPr>
    </w:p>
    <w:p w:rsidR="00F93E1F" w:rsidRDefault="00F94AC2">
      <w:pPr>
        <w:spacing w:line="264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1F" w:rsidRDefault="00F93E1F">
      <w:pPr>
        <w:spacing w:line="264" w:lineRule="auto"/>
        <w:ind w:firstLine="709"/>
        <w:jc w:val="right"/>
        <w:rPr>
          <w:b/>
        </w:rPr>
      </w:pPr>
    </w:p>
    <w:p w:rsidR="00F93E1F" w:rsidRDefault="00F94AC2">
      <w:pPr>
        <w:spacing w:line="264" w:lineRule="auto"/>
        <w:ind w:firstLine="709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6C4DBE">
      <w:pPr>
        <w:spacing w:line="264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F93E1F" w:rsidRDefault="00F93E1F">
      <w:pPr>
        <w:spacing w:line="264" w:lineRule="auto"/>
        <w:rPr>
          <w:b/>
        </w:rPr>
      </w:pPr>
    </w:p>
    <w:p w:rsidR="00F93E1F" w:rsidRDefault="00F93E1F">
      <w:pPr>
        <w:spacing w:line="264" w:lineRule="auto"/>
        <w:rPr>
          <w:b/>
        </w:rPr>
      </w:pPr>
    </w:p>
    <w:p w:rsidR="00F93E1F" w:rsidRDefault="006C4DBE">
      <w:pPr>
        <w:spacing w:line="264" w:lineRule="auto"/>
        <w:ind w:firstLine="709"/>
        <w:jc w:val="both"/>
        <w:rPr>
          <w:b/>
        </w:rPr>
      </w:pPr>
      <w:r>
        <w:rPr>
          <w:b/>
        </w:rPr>
        <w:t>Предварительная заявка на участие в XVI Лыжной Академиаде РАН 2022</w:t>
      </w:r>
    </w:p>
    <w:p w:rsidR="00F93E1F" w:rsidRDefault="00F93E1F">
      <w:pPr>
        <w:spacing w:line="264" w:lineRule="auto"/>
        <w:rPr>
          <w:b/>
        </w:rPr>
      </w:pPr>
    </w:p>
    <w:p w:rsidR="00F93E1F" w:rsidRDefault="006C4DBE">
      <w:pPr>
        <w:spacing w:line="264" w:lineRule="auto"/>
        <w:rPr>
          <w:b/>
        </w:rPr>
      </w:pPr>
      <w:r>
        <w:rPr>
          <w:b/>
        </w:rPr>
        <w:t>(</w:t>
      </w:r>
      <w:r>
        <w:t>название организации полностью</w:t>
      </w:r>
      <w:r>
        <w:rPr>
          <w:b/>
        </w:rPr>
        <w:t>)________________________________________________</w:t>
      </w:r>
    </w:p>
    <w:p w:rsidR="00F93E1F" w:rsidRDefault="00F93E1F">
      <w:pPr>
        <w:spacing w:line="264" w:lineRule="auto"/>
        <w:rPr>
          <w:b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F93E1F">
        <w:tc>
          <w:tcPr>
            <w:tcW w:w="2463" w:type="dxa"/>
          </w:tcPr>
          <w:p w:rsidR="00F93E1F" w:rsidRDefault="006C4DBE">
            <w:pPr>
              <w:jc w:val="center"/>
              <w:rPr>
                <w:b/>
              </w:rPr>
            </w:pPr>
            <w:r>
              <w:rPr>
                <w:b/>
              </w:rPr>
              <w:t>ФИО (полностью)</w:t>
            </w:r>
          </w:p>
        </w:tc>
        <w:tc>
          <w:tcPr>
            <w:tcW w:w="2463" w:type="dxa"/>
          </w:tcPr>
          <w:p w:rsidR="00F93E1F" w:rsidRDefault="006C4DBE">
            <w:pPr>
              <w:jc w:val="center"/>
              <w:rPr>
                <w:b/>
              </w:rPr>
            </w:pPr>
            <w:r>
              <w:rPr>
                <w:b/>
              </w:rPr>
              <w:t>Контакты (телефон/эл. адрес)</w:t>
            </w:r>
          </w:p>
        </w:tc>
        <w:tc>
          <w:tcPr>
            <w:tcW w:w="2464" w:type="dxa"/>
          </w:tcPr>
          <w:p w:rsidR="00F93E1F" w:rsidRDefault="006C4DB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64" w:type="dxa"/>
          </w:tcPr>
          <w:p w:rsidR="00F93E1F" w:rsidRDefault="006C4DB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93E1F">
        <w:tc>
          <w:tcPr>
            <w:tcW w:w="2463" w:type="dxa"/>
          </w:tcPr>
          <w:p w:rsidR="00F93E1F" w:rsidRDefault="00F93E1F">
            <w:pPr>
              <w:jc w:val="right"/>
            </w:pPr>
          </w:p>
        </w:tc>
        <w:tc>
          <w:tcPr>
            <w:tcW w:w="2463" w:type="dxa"/>
          </w:tcPr>
          <w:p w:rsidR="00F93E1F" w:rsidRDefault="00F93E1F">
            <w:pPr>
              <w:jc w:val="right"/>
            </w:pPr>
          </w:p>
        </w:tc>
        <w:tc>
          <w:tcPr>
            <w:tcW w:w="2464" w:type="dxa"/>
          </w:tcPr>
          <w:p w:rsidR="00F93E1F" w:rsidRDefault="00F93E1F">
            <w:pPr>
              <w:jc w:val="right"/>
            </w:pPr>
          </w:p>
        </w:tc>
        <w:tc>
          <w:tcPr>
            <w:tcW w:w="2464" w:type="dxa"/>
          </w:tcPr>
          <w:p w:rsidR="00F93E1F" w:rsidRDefault="00F93E1F">
            <w:pPr>
              <w:jc w:val="right"/>
            </w:pPr>
          </w:p>
        </w:tc>
      </w:tr>
    </w:tbl>
    <w:p w:rsidR="00F93E1F" w:rsidRDefault="00F93E1F">
      <w:pPr>
        <w:jc w:val="right"/>
      </w:pPr>
    </w:p>
    <w:p w:rsidR="00F93E1F" w:rsidRDefault="00F93E1F">
      <w:pPr>
        <w:rPr>
          <w:b/>
        </w:rPr>
      </w:pPr>
    </w:p>
    <w:p w:rsidR="00F93E1F" w:rsidRDefault="00F93E1F">
      <w:pPr>
        <w:rPr>
          <w:b/>
        </w:rPr>
      </w:pPr>
    </w:p>
    <w:p w:rsidR="00F93E1F" w:rsidRDefault="006C4DBE">
      <w:pPr>
        <w:spacing w:line="264" w:lineRule="auto"/>
        <w:ind w:firstLine="709"/>
        <w:jc w:val="both"/>
        <w:rPr>
          <w:b/>
        </w:rPr>
      </w:pPr>
      <w:r>
        <w:rPr>
          <w:b/>
        </w:rPr>
        <w:t>Окончательная заявка на участие в XVI Лыжной Академиаде РАН 2022</w:t>
      </w:r>
    </w:p>
    <w:p w:rsidR="00F93E1F" w:rsidRDefault="00F93E1F">
      <w:pPr>
        <w:spacing w:line="264" w:lineRule="auto"/>
        <w:rPr>
          <w:b/>
        </w:rPr>
      </w:pPr>
    </w:p>
    <w:p w:rsidR="00F93E1F" w:rsidRDefault="006C4DBE">
      <w:pPr>
        <w:spacing w:line="264" w:lineRule="auto"/>
        <w:rPr>
          <w:b/>
        </w:rPr>
      </w:pPr>
      <w:r>
        <w:rPr>
          <w:b/>
        </w:rPr>
        <w:t>(</w:t>
      </w:r>
      <w:r>
        <w:t>название организации полностью</w:t>
      </w:r>
      <w:r>
        <w:rPr>
          <w:b/>
        </w:rPr>
        <w:t>) ________________________________________________</w:t>
      </w:r>
    </w:p>
    <w:p w:rsidR="00F93E1F" w:rsidRDefault="00F93E1F"/>
    <w:tbl>
      <w:tblPr>
        <w:tblStyle w:val="a6"/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086"/>
        <w:gridCol w:w="1080"/>
        <w:gridCol w:w="1440"/>
        <w:gridCol w:w="1440"/>
        <w:gridCol w:w="1080"/>
        <w:gridCol w:w="900"/>
        <w:gridCol w:w="900"/>
        <w:gridCol w:w="1080"/>
      </w:tblGrid>
      <w:tr w:rsidR="00F93E1F">
        <w:tc>
          <w:tcPr>
            <w:tcW w:w="1358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086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</w:t>
            </w:r>
          </w:p>
        </w:tc>
        <w:tc>
          <w:tcPr>
            <w:tcW w:w="108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в организации РАН/Профсоюзе работников РАН/организации Минобрнауки</w:t>
            </w:r>
          </w:p>
        </w:tc>
        <w:tc>
          <w:tcPr>
            <w:tcW w:w="144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 (</w:t>
            </w:r>
            <w:r>
              <w:rPr>
                <w:i/>
                <w:sz w:val="20"/>
                <w:szCs w:val="20"/>
              </w:rPr>
              <w:t>в случае выбора места проживания, указать место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приезда (самолёт/поезд)</w:t>
            </w:r>
          </w:p>
        </w:tc>
        <w:tc>
          <w:tcPr>
            <w:tcW w:w="90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Рейс/№ поезда</w:t>
            </w:r>
          </w:p>
        </w:tc>
        <w:tc>
          <w:tcPr>
            <w:tcW w:w="90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выезда</w:t>
            </w:r>
          </w:p>
        </w:tc>
        <w:tc>
          <w:tcPr>
            <w:tcW w:w="1080" w:type="dxa"/>
          </w:tcPr>
          <w:p w:rsidR="00F93E1F" w:rsidRDefault="006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Самолёт/поезд</w:t>
            </w:r>
          </w:p>
        </w:tc>
      </w:tr>
      <w:tr w:rsidR="00F93E1F">
        <w:tc>
          <w:tcPr>
            <w:tcW w:w="1358" w:type="dxa"/>
          </w:tcPr>
          <w:p w:rsidR="00F93E1F" w:rsidRDefault="00F93E1F">
            <w:pPr>
              <w:jc w:val="right"/>
            </w:pPr>
          </w:p>
        </w:tc>
        <w:tc>
          <w:tcPr>
            <w:tcW w:w="1086" w:type="dxa"/>
          </w:tcPr>
          <w:p w:rsidR="00F93E1F" w:rsidRDefault="00F93E1F">
            <w:pPr>
              <w:jc w:val="right"/>
            </w:pPr>
          </w:p>
        </w:tc>
        <w:tc>
          <w:tcPr>
            <w:tcW w:w="1080" w:type="dxa"/>
          </w:tcPr>
          <w:p w:rsidR="00F93E1F" w:rsidRDefault="00F93E1F">
            <w:pPr>
              <w:jc w:val="right"/>
            </w:pPr>
          </w:p>
        </w:tc>
        <w:tc>
          <w:tcPr>
            <w:tcW w:w="1440" w:type="dxa"/>
          </w:tcPr>
          <w:p w:rsidR="00F93E1F" w:rsidRDefault="00F93E1F">
            <w:pPr>
              <w:jc w:val="right"/>
            </w:pPr>
          </w:p>
        </w:tc>
        <w:tc>
          <w:tcPr>
            <w:tcW w:w="1440" w:type="dxa"/>
          </w:tcPr>
          <w:p w:rsidR="00F93E1F" w:rsidRDefault="00F93E1F">
            <w:pPr>
              <w:jc w:val="right"/>
            </w:pPr>
          </w:p>
        </w:tc>
        <w:tc>
          <w:tcPr>
            <w:tcW w:w="1080" w:type="dxa"/>
          </w:tcPr>
          <w:p w:rsidR="00F93E1F" w:rsidRDefault="00F93E1F">
            <w:pPr>
              <w:jc w:val="right"/>
            </w:pPr>
          </w:p>
        </w:tc>
        <w:tc>
          <w:tcPr>
            <w:tcW w:w="900" w:type="dxa"/>
          </w:tcPr>
          <w:p w:rsidR="00F93E1F" w:rsidRDefault="00F93E1F">
            <w:pPr>
              <w:jc w:val="right"/>
            </w:pPr>
          </w:p>
        </w:tc>
        <w:tc>
          <w:tcPr>
            <w:tcW w:w="900" w:type="dxa"/>
          </w:tcPr>
          <w:p w:rsidR="00F93E1F" w:rsidRDefault="00F93E1F">
            <w:pPr>
              <w:jc w:val="right"/>
            </w:pPr>
          </w:p>
        </w:tc>
        <w:tc>
          <w:tcPr>
            <w:tcW w:w="1080" w:type="dxa"/>
          </w:tcPr>
          <w:p w:rsidR="00F93E1F" w:rsidRDefault="00F93E1F">
            <w:pPr>
              <w:jc w:val="right"/>
            </w:pPr>
          </w:p>
        </w:tc>
      </w:tr>
    </w:tbl>
    <w:p w:rsidR="00F93E1F" w:rsidRDefault="00F93E1F">
      <w:pPr>
        <w:jc w:val="right"/>
      </w:pPr>
    </w:p>
    <w:p w:rsidR="00F93E1F" w:rsidRDefault="00F93E1F">
      <w:pPr>
        <w:jc w:val="right"/>
      </w:pPr>
    </w:p>
    <w:p w:rsidR="00F93E1F" w:rsidRDefault="00F93E1F">
      <w:pPr>
        <w:jc w:val="right"/>
      </w:pP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ЗАЯВКА (для судейской)</w:t>
      </w:r>
    </w:p>
    <w:p w:rsidR="00F93E1F" w:rsidRDefault="00F93E1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на участие в XVI Всероссийских соревнованиях по лыжным гонкам Академиада-2022</w:t>
      </w:r>
    </w:p>
    <w:p w:rsidR="00F93E1F" w:rsidRDefault="00F93E1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</w:rPr>
      </w:pPr>
      <w:r>
        <w:rPr>
          <w:color w:val="000000"/>
        </w:rPr>
        <w:t>от _____________________________________</w:t>
      </w: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(название организации)</w:t>
      </w:r>
    </w:p>
    <w:p w:rsidR="00F93E1F" w:rsidRDefault="00F93E1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6"/>
        <w:gridCol w:w="2268"/>
        <w:gridCol w:w="1597"/>
        <w:gridCol w:w="2088"/>
      </w:tblGrid>
      <w:tr w:rsidR="00F93E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ФИО</w:t>
            </w:r>
          </w:p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Должность/ученая степень (если есть)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 участия:</w:t>
            </w:r>
          </w:p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лично/</w:t>
            </w:r>
          </w:p>
          <w:p w:rsidR="00F93E1F" w:rsidRDefault="006C4D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команда**</w:t>
            </w:r>
          </w:p>
        </w:tc>
      </w:tr>
      <w:tr w:rsidR="00F93E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1F" w:rsidRDefault="00F93E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F93E1F" w:rsidRDefault="00F93E1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Руководитель организации     __________________/  /</w:t>
      </w:r>
    </w:p>
    <w:p w:rsidR="00F93E1F" w:rsidRDefault="006C4DBE">
      <w:pPr>
        <w:jc w:val="both"/>
      </w:pPr>
      <w:r>
        <w:t>Представитель команды         __________________/  /</w:t>
      </w:r>
    </w:p>
    <w:p w:rsidR="00F93E1F" w:rsidRDefault="00F93E1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* - в названии файла с заявкой указывайте организацию, например: «форма_2 Иркутск»</w:t>
      </w:r>
    </w:p>
    <w:p w:rsidR="00F93E1F" w:rsidRDefault="006C4D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** - в составе большой команды может быть от 4 до 6 человек, в составе малой команды может быть до 3 человек (наличие хотя бы одной женщины в той или другой команде или одного мужчины обязательно), количество команд, также, как и участников, выступающих только в личном первенстве, от одной организации не лимитируется.</w:t>
      </w:r>
    </w:p>
    <w:p w:rsidR="00F93E1F" w:rsidRDefault="00F93E1F">
      <w:pPr>
        <w:jc w:val="right"/>
        <w:rPr>
          <w:b/>
        </w:rPr>
      </w:pPr>
    </w:p>
    <w:p w:rsidR="00F93E1F" w:rsidRDefault="006C4DBE">
      <w:pPr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F93E1F" w:rsidRDefault="00F93E1F"/>
    <w:p w:rsidR="00F93E1F" w:rsidRDefault="00F93E1F"/>
    <w:p w:rsidR="00F93E1F" w:rsidRDefault="00F93E1F"/>
    <w:p w:rsidR="00F93E1F" w:rsidRDefault="006C4DBE">
      <w:pPr>
        <w:jc w:val="center"/>
        <w:rPr>
          <w:b/>
        </w:rPr>
      </w:pPr>
      <w:r>
        <w:rPr>
          <w:b/>
        </w:rPr>
        <w:t>Возрастные коэффициенты</w:t>
      </w:r>
    </w:p>
    <w:p w:rsidR="00F93E1F" w:rsidRDefault="00F93E1F"/>
    <w:tbl>
      <w:tblPr>
        <w:tblStyle w:val="a8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1606"/>
        <w:gridCol w:w="1605"/>
        <w:gridCol w:w="1606"/>
        <w:gridCol w:w="1606"/>
      </w:tblGrid>
      <w:tr w:rsidR="00F93E1F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bookmarkStart w:id="1" w:name="gjdgxs" w:colFirst="0" w:colLast="0"/>
            <w:bookmarkEnd w:id="1"/>
            <w:r>
              <w:rPr>
                <w:color w:val="000000"/>
              </w:rPr>
              <w:t>1932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0.945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0.950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0.955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0.960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0.965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0.970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0.975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0.980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0.985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0.990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0.995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0.995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0.990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0.795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0.985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0.980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0.975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0.970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0.965</w:t>
            </w:r>
          </w:p>
        </w:tc>
      </w:tr>
      <w:tr w:rsidR="00F93E1F">
        <w:trPr>
          <w:trHeight w:val="315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0.820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0.960</w:t>
            </w:r>
          </w:p>
        </w:tc>
      </w:tr>
      <w:tr w:rsidR="00F93E1F">
        <w:trPr>
          <w:trHeight w:val="315"/>
        </w:trPr>
        <w:tc>
          <w:tcPr>
            <w:tcW w:w="96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E1F" w:rsidRDefault="006C4DBE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 1:</w:t>
            </w:r>
          </w:p>
          <w:p w:rsidR="00F93E1F" w:rsidRDefault="006C4DB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Дополнительные коэффициенты:</w:t>
            </w:r>
          </w:p>
          <w:p w:rsidR="00F93E1F" w:rsidRDefault="006C4DB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   - женский: 0.865</w:t>
            </w:r>
          </w:p>
          <w:p w:rsidR="00F93E1F" w:rsidRDefault="006C4DB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   - женский дистанционный (для дистанций вдвое короче мужских): 2.05</w:t>
            </w:r>
          </w:p>
        </w:tc>
      </w:tr>
    </w:tbl>
    <w:p w:rsidR="00F93E1F" w:rsidRDefault="00F93E1F"/>
    <w:p w:rsidR="00F93E1F" w:rsidRDefault="00F93E1F"/>
    <w:p w:rsidR="00F93E1F" w:rsidRDefault="00F93E1F"/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jc w:val="both"/>
        <w:rPr>
          <w:color w:val="000000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jc w:val="both"/>
        <w:rPr>
          <w:color w:val="000000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jc w:val="both"/>
        <w:rPr>
          <w:color w:val="000000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jc w:val="both"/>
        <w:rPr>
          <w:color w:val="000000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</w:rPr>
      </w:pPr>
    </w:p>
    <w:p w:rsidR="00F93E1F" w:rsidRDefault="006C4DBE">
      <w:pPr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F93E1F" w:rsidRDefault="006C4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Возрастные группы</w:t>
      </w:r>
    </w:p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tbl>
      <w:tblPr>
        <w:tblStyle w:val="a9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9"/>
        <w:gridCol w:w="1405"/>
        <w:gridCol w:w="1638"/>
        <w:gridCol w:w="1510"/>
        <w:gridCol w:w="1525"/>
        <w:gridCol w:w="1708"/>
      </w:tblGrid>
      <w:tr w:rsidR="00F93E1F">
        <w:trPr>
          <w:trHeight w:val="441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Мужчины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Женщины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Группа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Возраст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Год рождения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Группа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Возраст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Год рождения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18-29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2003-1992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18-29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2003-1992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30-34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1991-1987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30-34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1991-1987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35-39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1986-1982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35-39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1986-1982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40-44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1981-1977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40-44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1981-1977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45-49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1976-1972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45-49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1976-1972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50-54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1971-1967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50-54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1971-1967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55-59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1966-1962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55-59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1966-1962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60-64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1961-1957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60-64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1961-1957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65-69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1956-1952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65-69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1956-1952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70 -74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1951-1947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70 -74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1951-1947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75-79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1946-1942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75-79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1946-1942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80-84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1941-1937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80-84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1941-1937</w:t>
            </w:r>
          </w:p>
        </w:tc>
      </w:tr>
      <w:tr w:rsidR="00F93E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М 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85-89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1936-1932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Ж 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85-89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3E1F" w:rsidRDefault="006C4DBE">
            <w:pPr>
              <w:widowControl/>
              <w:jc w:val="center"/>
            </w:pPr>
            <w:r>
              <w:t>1936-1932</w:t>
            </w:r>
          </w:p>
        </w:tc>
      </w:tr>
    </w:tbl>
    <w:p w:rsidR="00F93E1F" w:rsidRDefault="00F93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6"/>
        <w:jc w:val="both"/>
        <w:rPr>
          <w:b/>
          <w:color w:val="000000"/>
        </w:rPr>
      </w:pPr>
    </w:p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p w:rsidR="00F93E1F" w:rsidRDefault="00F93E1F"/>
    <w:sectPr w:rsidR="00F93E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963"/>
    <w:multiLevelType w:val="multilevel"/>
    <w:tmpl w:val="38E884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1F"/>
    <w:rsid w:val="00266079"/>
    <w:rsid w:val="005A620D"/>
    <w:rsid w:val="006C4DBE"/>
    <w:rsid w:val="008C2EB0"/>
    <w:rsid w:val="00F93E1F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C3AD-98AF-4495-8DB8-D9B367F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spacing w:line="264" w:lineRule="auto"/>
      <w:ind w:left="10" w:right="76" w:hanging="1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C2E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Nick</cp:lastModifiedBy>
  <cp:revision>2</cp:revision>
  <dcterms:created xsi:type="dcterms:W3CDTF">2022-02-06T13:33:00Z</dcterms:created>
  <dcterms:modified xsi:type="dcterms:W3CDTF">2022-02-06T13:33:00Z</dcterms:modified>
</cp:coreProperties>
</file>